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A4DA0">
      <w:pPr>
        <w:shd w:val="clear" w:color="auto" w:fill="FFFFFF"/>
        <w:spacing w:before="300" w:after="120" w:line="420" w:lineRule="atLeast"/>
        <w:contextualSpacing/>
        <w:jc w:val="center"/>
        <w:outlineLvl w:val="2"/>
        <w:rPr>
          <w:rFonts w:ascii="Arial" w:hAnsi="Arial" w:eastAsia="Times New Roman" w:cs="Arial"/>
          <w:b/>
          <w:bCs/>
          <w:sz w:val="27"/>
          <w:szCs w:val="27"/>
          <w:lang w:eastAsia="ru-RU"/>
        </w:rPr>
      </w:pPr>
      <w:r>
        <w:rPr>
          <w:rFonts w:ascii="Arial" w:hAnsi="Arial" w:eastAsia="Times New Roman" w:cs="Arial"/>
          <w:b/>
          <w:bCs/>
          <w:sz w:val="27"/>
          <w:szCs w:val="27"/>
          <w:lang w:eastAsia="ru-RU"/>
        </w:rPr>
        <w:t>Техническое задание на производство и монтаж металлического</w:t>
      </w:r>
    </w:p>
    <w:p w14:paraId="2FB0C71F">
      <w:pPr>
        <w:shd w:val="clear" w:color="auto" w:fill="FFFFFF"/>
        <w:spacing w:before="300" w:after="120" w:line="420" w:lineRule="atLeast"/>
        <w:contextualSpacing/>
        <w:jc w:val="center"/>
        <w:outlineLvl w:val="2"/>
        <w:rPr>
          <w:rFonts w:ascii="Arial" w:hAnsi="Arial" w:eastAsia="Times New Roman" w:cs="Arial"/>
          <w:b/>
          <w:bCs/>
          <w:sz w:val="27"/>
          <w:szCs w:val="27"/>
          <w:lang w:eastAsia="ru-RU"/>
        </w:rPr>
      </w:pPr>
      <w:r>
        <w:rPr>
          <w:rFonts w:ascii="Arial" w:hAnsi="Arial" w:eastAsia="Times New Roman" w:cs="Arial"/>
          <w:b/>
          <w:bCs/>
          <w:sz w:val="27"/>
          <w:szCs w:val="27"/>
          <w:lang w:eastAsia="ru-RU"/>
        </w:rPr>
        <w:t>бескаркасного ангара </w:t>
      </w:r>
    </w:p>
    <w:p w14:paraId="2BD3BB7E">
      <w:pPr>
        <w:shd w:val="clear" w:color="auto" w:fill="FFFFFF"/>
        <w:spacing w:before="300" w:after="60" w:line="360" w:lineRule="atLeast"/>
        <w:outlineLvl w:val="3"/>
        <w:rPr>
          <w:rFonts w:ascii="Arial" w:hAnsi="Arial" w:eastAsia="Times New Roman" w:cs="Arial"/>
          <w:b/>
          <w:bCs/>
          <w:sz w:val="24"/>
          <w:szCs w:val="24"/>
          <w:u w:val="single"/>
          <w:lang w:eastAsia="ru-RU"/>
        </w:rPr>
      </w:pPr>
      <w:r>
        <w:rPr>
          <w:rFonts w:ascii="Arial" w:hAnsi="Arial" w:eastAsia="Times New Roman" w:cs="Arial"/>
          <w:b/>
          <w:bCs/>
          <w:sz w:val="24"/>
          <w:szCs w:val="24"/>
          <w:u w:val="single"/>
          <w:lang w:eastAsia="ru-RU"/>
        </w:rPr>
        <w:t>1. Общие положения</w:t>
      </w:r>
    </w:p>
    <w:p w14:paraId="74CC9255">
      <w:pPr>
        <w:shd w:val="clear" w:color="auto" w:fill="FFFFFF"/>
        <w:spacing w:before="120" w:after="120" w:line="420" w:lineRule="atLeast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1.1. Настоящее техническое задание (далее — ТЗ) определяет требования к производству и монтажу металлического бескаркасного ангара (далее — ангар) в условиях Астраханской области.</w:t>
      </w:r>
    </w:p>
    <w:p w14:paraId="6716C49B">
      <w:pPr>
        <w:shd w:val="clear" w:color="auto" w:fill="FFFFFF"/>
        <w:spacing w:before="120" w:after="120" w:line="420" w:lineRule="atLeast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1.2. Цель: создание прочного, долговечного и функционального сооружения для хранения техники с учётом климатических особенностей региона.</w:t>
      </w:r>
    </w:p>
    <w:p w14:paraId="6F8166B7">
      <w:pPr>
        <w:shd w:val="clear" w:color="auto" w:fill="FFFFFF"/>
        <w:spacing w:before="120" w:after="120" w:line="420" w:lineRule="atLeast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1.3. Место монтажа: Астрахань</w:t>
      </w:r>
      <w:bookmarkStart w:id="0" w:name="_GoBack"/>
      <w:bookmarkEnd w:id="0"/>
    </w:p>
    <w:p w14:paraId="524E76B6">
      <w:pPr>
        <w:shd w:val="clear" w:color="auto" w:fill="FFFFFF"/>
        <w:spacing w:before="120" w:after="120" w:line="420" w:lineRule="atLeast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1.4. Сроки выполнения работ: с </w:t>
      </w:r>
      <w:r>
        <w:rPr>
          <w:rFonts w:ascii="Arial" w:hAnsi="Arial" w:eastAsia="Times New Roman" w:cs="Arial"/>
          <w:color w:val="FF0000"/>
          <w:sz w:val="24"/>
          <w:szCs w:val="24"/>
          <w:lang w:eastAsia="ru-RU"/>
        </w:rPr>
        <w:t>[дата начала] по [дата окончания]</w:t>
      </w:r>
      <w:r>
        <w:rPr>
          <w:rFonts w:ascii="Arial" w:hAnsi="Arial" w:eastAsia="Times New Roman" w:cs="Arial"/>
          <w:sz w:val="24"/>
          <w:szCs w:val="24"/>
          <w:lang w:eastAsia="ru-RU"/>
        </w:rPr>
        <w:t>.</w:t>
      </w:r>
    </w:p>
    <w:p w14:paraId="272D0441">
      <w:pPr>
        <w:shd w:val="clear" w:color="auto" w:fill="FFFFFF"/>
        <w:spacing w:before="300" w:after="60" w:line="360" w:lineRule="atLeast"/>
        <w:outlineLvl w:val="3"/>
        <w:rPr>
          <w:rFonts w:ascii="Arial" w:hAnsi="Arial" w:eastAsia="Times New Roman" w:cs="Arial"/>
          <w:b/>
          <w:bCs/>
          <w:sz w:val="24"/>
          <w:szCs w:val="24"/>
          <w:u w:val="single"/>
          <w:lang w:eastAsia="ru-RU"/>
        </w:rPr>
      </w:pPr>
      <w:r>
        <w:rPr>
          <w:rFonts w:ascii="Arial" w:hAnsi="Arial" w:eastAsia="Times New Roman" w:cs="Arial"/>
          <w:b/>
          <w:bCs/>
          <w:sz w:val="24"/>
          <w:szCs w:val="24"/>
          <w:u w:val="single"/>
          <w:lang w:eastAsia="ru-RU"/>
        </w:rPr>
        <w:t>2. Требования к ангару с учётом климатических условий Астраханской области</w:t>
      </w:r>
    </w:p>
    <w:p w14:paraId="0508E6D1">
      <w:pPr>
        <w:shd w:val="clear" w:color="auto" w:fill="FFFFFF"/>
        <w:spacing w:before="120" w:after="120" w:line="420" w:lineRule="atLeast"/>
        <w:rPr>
          <w:rFonts w:ascii="Arial" w:hAnsi="Arial" w:eastAsia="Times New Roman" w:cs="Arial"/>
          <w:b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  <w:t>2.1. Общие параметры:</w:t>
      </w:r>
    </w:p>
    <w:p w14:paraId="418B920E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габариты: длина — 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30 м</w:t>
      </w:r>
      <w:r>
        <w:rPr>
          <w:rFonts w:ascii="Arial" w:hAnsi="Arial" w:eastAsia="Times New Roman" w:cs="Arial"/>
          <w:sz w:val="24"/>
          <w:szCs w:val="24"/>
          <w:lang w:eastAsia="ru-RU"/>
        </w:rPr>
        <w:t>, ширина — 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20 м</w:t>
      </w:r>
      <w:r>
        <w:rPr>
          <w:rFonts w:ascii="Arial" w:hAnsi="Arial" w:eastAsia="Times New Roman" w:cs="Arial"/>
          <w:sz w:val="24"/>
          <w:szCs w:val="24"/>
          <w:lang w:eastAsia="ru-RU"/>
        </w:rPr>
        <w:t>, высота в коньке — 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8 м</w:t>
      </w:r>
      <w:r>
        <w:rPr>
          <w:rFonts w:ascii="Arial" w:hAnsi="Arial" w:eastAsia="Times New Roman" w:cs="Arial"/>
          <w:sz w:val="24"/>
          <w:szCs w:val="24"/>
          <w:lang w:eastAsia="ru-RU"/>
        </w:rPr>
        <w:t>;</w:t>
      </w:r>
    </w:p>
    <w:p w14:paraId="226EEA6B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форма: арочная;</w:t>
      </w:r>
    </w:p>
    <w:p w14:paraId="1423E1B7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расчётная снеговая нагрузка: 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100 кг/м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>2</w:t>
      </w:r>
      <w:r>
        <w:rPr>
          <w:rFonts w:ascii="Arial" w:hAnsi="Arial" w:eastAsia="Times New Roman" w:cs="Arial"/>
          <w:sz w:val="24"/>
          <w:szCs w:val="24"/>
          <w:lang w:eastAsia="ru-RU"/>
        </w:rPr>
        <w:t> (III снеговой район);</w:t>
      </w:r>
    </w:p>
    <w:p w14:paraId="3F96F0F6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ветровая нагрузка: 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48 кг/м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>2</w:t>
      </w:r>
      <w:r>
        <w:rPr>
          <w:rFonts w:ascii="Arial" w:hAnsi="Arial" w:eastAsia="Times New Roman" w:cs="Arial"/>
          <w:sz w:val="24"/>
          <w:szCs w:val="24"/>
          <w:lang w:eastAsia="ru-RU"/>
        </w:rPr>
        <w:t> (IV ветровой район);</w:t>
      </w:r>
    </w:p>
    <w:p w14:paraId="1CA6F226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сейсмическая устойчивость: до 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6</w:t>
      </w:r>
      <w:r>
        <w:rPr>
          <w:rFonts w:ascii="Arial" w:hAnsi="Arial" w:eastAsia="Times New Roman" w:cs="Arial"/>
          <w:sz w:val="24"/>
          <w:szCs w:val="24"/>
          <w:lang w:eastAsia="ru-RU"/>
        </w:rPr>
        <w:t> баллов (учитывая сейсмичность региона);</w:t>
      </w:r>
    </w:p>
    <w:p w14:paraId="4BA45B0B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температурный режим эксплуатации: от 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−30</w:t>
      </w:r>
      <w:r>
        <w:rPr>
          <w:rFonts w:ascii="Cambria Math" w:hAnsi="Cambria Math" w:eastAsia="Times New Roman" w:cs="Cambria Math"/>
          <w:sz w:val="20"/>
          <w:szCs w:val="20"/>
          <w:lang w:eastAsia="ru-RU"/>
        </w:rPr>
        <w:t>∘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C</w:t>
      </w:r>
      <w:r>
        <w:rPr>
          <w:rFonts w:ascii="Arial" w:hAnsi="Arial" w:eastAsia="Times New Roman" w:cs="Arial"/>
          <w:sz w:val="24"/>
          <w:szCs w:val="24"/>
          <w:lang w:eastAsia="ru-RU"/>
        </w:rPr>
        <w:t> до 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+45</w:t>
      </w:r>
      <w:r>
        <w:rPr>
          <w:rFonts w:ascii="Cambria Math" w:hAnsi="Cambria Math" w:eastAsia="Times New Roman" w:cs="Cambria Math"/>
          <w:sz w:val="20"/>
          <w:szCs w:val="20"/>
          <w:lang w:eastAsia="ru-RU"/>
        </w:rPr>
        <w:t>∘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C</w:t>
      </w:r>
      <w:r>
        <w:rPr>
          <w:rFonts w:ascii="Arial" w:hAnsi="Arial" w:eastAsia="Times New Roman" w:cs="Arial"/>
          <w:sz w:val="24"/>
          <w:szCs w:val="24"/>
          <w:lang w:eastAsia="ru-RU"/>
        </w:rPr>
        <w:t> (с учётом летней жары до 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+40…+45</w:t>
      </w:r>
      <w:r>
        <w:rPr>
          <w:rFonts w:ascii="Cambria Math" w:hAnsi="Cambria Math" w:eastAsia="Times New Roman" w:cs="Cambria Math"/>
          <w:sz w:val="20"/>
          <w:szCs w:val="20"/>
          <w:lang w:eastAsia="ru-RU"/>
        </w:rPr>
        <w:t>∘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C</w:t>
      </w:r>
      <w:r>
        <w:rPr>
          <w:rFonts w:ascii="Arial" w:hAnsi="Arial" w:eastAsia="Times New Roman" w:cs="Arial"/>
          <w:sz w:val="24"/>
          <w:szCs w:val="24"/>
          <w:lang w:eastAsia="ru-RU"/>
        </w:rPr>
        <w:t>);</w:t>
      </w:r>
    </w:p>
    <w:p w14:paraId="7B459A85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устойчивость к пыльным бурям и суховеям: предусмотрена герметизация стыков.</w:t>
      </w:r>
    </w:p>
    <w:p w14:paraId="3845E53D">
      <w:pPr>
        <w:shd w:val="clear" w:color="auto" w:fill="FFFFFF"/>
        <w:spacing w:before="120" w:after="120" w:line="420" w:lineRule="atLeast"/>
        <w:rPr>
          <w:rFonts w:ascii="Arial" w:hAnsi="Arial" w:eastAsia="Times New Roman" w:cs="Arial"/>
          <w:b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  <w:t>2.2. Материалы:</w:t>
      </w:r>
    </w:p>
    <w:p w14:paraId="6C7837FD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основной материал: оцинкованная сталь толщиной 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1,2-1,5 мм</w:t>
      </w:r>
      <w:r>
        <w:rPr>
          <w:rFonts w:ascii="Arial" w:hAnsi="Arial" w:eastAsia="Times New Roman" w:cs="Arial"/>
          <w:sz w:val="24"/>
          <w:szCs w:val="24"/>
          <w:lang w:eastAsia="ru-RU"/>
        </w:rPr>
        <w:t> (повышенная толщина для устойчивости к ветровым нагрузкам);</w:t>
      </w:r>
    </w:p>
    <w:p w14:paraId="5B08D527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антикоррозийное покрытие: полимерное, повышенной стойкости к УФ</w:t>
      </w:r>
      <w:r>
        <w:rPr>
          <w:rFonts w:ascii="Arial" w:hAnsi="Arial" w:eastAsia="Times New Roman" w:cs="Arial"/>
          <w:sz w:val="24"/>
          <w:szCs w:val="24"/>
          <w:lang w:eastAsia="ru-RU"/>
        </w:rPr>
        <w:noBreakHyphen/>
      </w:r>
      <w:r>
        <w:rPr>
          <w:rFonts w:ascii="Arial" w:hAnsi="Arial" w:eastAsia="Times New Roman" w:cs="Arial"/>
          <w:sz w:val="24"/>
          <w:szCs w:val="24"/>
          <w:lang w:eastAsia="ru-RU"/>
        </w:rPr>
        <w:t>излучению, толщиной не менее 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35 мкм</w:t>
      </w:r>
      <w:r>
        <w:rPr>
          <w:rFonts w:ascii="Arial" w:hAnsi="Arial" w:eastAsia="Times New Roman" w:cs="Arial"/>
          <w:sz w:val="24"/>
          <w:szCs w:val="24"/>
          <w:lang w:eastAsia="ru-RU"/>
        </w:rPr>
        <w:t>;</w:t>
      </w:r>
    </w:p>
    <w:p w14:paraId="7CE616E6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цвет покрытия: светлые тона (</w:t>
      </w:r>
      <w:r>
        <w:rPr>
          <w:rFonts w:ascii="Arial" w:hAnsi="Arial" w:eastAsia="Times New Roman" w:cs="Arial"/>
          <w:color w:val="FF0000"/>
          <w:sz w:val="24"/>
          <w:szCs w:val="24"/>
          <w:lang w:eastAsia="ru-RU"/>
        </w:rPr>
        <w:t>по палитре RAL, например, RAL 9002, RAL 9016</w:t>
      </w:r>
      <w:r>
        <w:rPr>
          <w:rFonts w:ascii="Arial" w:hAnsi="Arial" w:eastAsia="Times New Roman" w:cs="Arial"/>
          <w:sz w:val="24"/>
          <w:szCs w:val="24"/>
          <w:lang w:eastAsia="ru-RU"/>
        </w:rPr>
        <w:t>) для снижения нагрева конструкции в летний период;</w:t>
      </w:r>
    </w:p>
    <w:p w14:paraId="22097EAD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уплотнители: атмосферостойкий резиновый профиль с УФ</w:t>
      </w:r>
      <w:r>
        <w:rPr>
          <w:rFonts w:ascii="Arial" w:hAnsi="Arial" w:eastAsia="Times New Roman" w:cs="Arial"/>
          <w:sz w:val="24"/>
          <w:szCs w:val="24"/>
          <w:lang w:eastAsia="ru-RU"/>
        </w:rPr>
        <w:noBreakHyphen/>
      </w:r>
      <w:r>
        <w:rPr>
          <w:rFonts w:ascii="Arial" w:hAnsi="Arial" w:eastAsia="Times New Roman" w:cs="Arial"/>
          <w:sz w:val="24"/>
          <w:szCs w:val="24"/>
          <w:lang w:eastAsia="ru-RU"/>
        </w:rPr>
        <w:t>стабилизаторами.</w:t>
      </w:r>
    </w:p>
    <w:p w14:paraId="614D75E8">
      <w:pPr>
        <w:shd w:val="clear" w:color="auto" w:fill="FFFFFF"/>
        <w:spacing w:before="120" w:after="120" w:line="420" w:lineRule="atLeast"/>
        <w:rPr>
          <w:rFonts w:ascii="Arial" w:hAnsi="Arial" w:eastAsia="Times New Roman" w:cs="Arial"/>
          <w:b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  <w:t>2.3. Конструктивные требования:</w:t>
      </w:r>
    </w:p>
    <w:p w14:paraId="73B134EC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радиус кривизны арки: 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10,25 м</w:t>
      </w:r>
      <w:r>
        <w:rPr>
          <w:rFonts w:ascii="Arial" w:hAnsi="Arial" w:eastAsia="Times New Roman" w:cs="Arial"/>
          <w:sz w:val="24"/>
          <w:szCs w:val="24"/>
          <w:lang w:eastAsia="ru-RU"/>
        </w:rPr>
        <w:t>;</w:t>
      </w:r>
    </w:p>
    <w:p w14:paraId="7048344C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шаг арок: 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3 м</w:t>
      </w:r>
      <w:r>
        <w:rPr>
          <w:rFonts w:ascii="Arial" w:hAnsi="Arial" w:eastAsia="Times New Roman" w:cs="Arial"/>
          <w:sz w:val="24"/>
          <w:szCs w:val="24"/>
          <w:lang w:eastAsia="ru-RU"/>
        </w:rPr>
        <w:t>;</w:t>
      </w:r>
    </w:p>
    <w:p w14:paraId="1D0B3D79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соединение элементов: фальцевое замковое с дополнительной герметизацией;</w:t>
      </w:r>
    </w:p>
    <w:p w14:paraId="53421A28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торцевые стены: </w:t>
      </w:r>
      <w:r>
        <w:rPr>
          <w:rStyle w:val="12"/>
          <w:rFonts w:ascii="Arial" w:hAnsi="Arial" w:cs="Arial"/>
          <w:bCs/>
          <w:shd w:val="clear" w:color="auto" w:fill="FFFFFF"/>
        </w:rPr>
        <w:t>Напыляемый</w:t>
      </w:r>
      <w:r>
        <w:rPr>
          <w:rStyle w:val="12"/>
          <w:rFonts w:ascii="Arial" w:hAnsi="Arial" w:cs="Arial"/>
          <w:bCs/>
          <w:sz w:val="24"/>
          <w:szCs w:val="24"/>
          <w:shd w:val="clear" w:color="auto" w:fill="FFFFFF"/>
        </w:rPr>
        <w:t> пенополиуретан (ППУ) толщина стоя 50-100 мм</w:t>
      </w:r>
      <w:r>
        <w:rPr>
          <w:rFonts w:ascii="Arial" w:hAnsi="Arial" w:eastAsia="Times New Roman" w:cs="Arial"/>
          <w:sz w:val="24"/>
          <w:szCs w:val="24"/>
          <w:lang w:eastAsia="ru-RU"/>
        </w:rPr>
        <w:t xml:space="preserve"> или утеплитель - базальтовая вата плотностью 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110 кг/м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>3</w:t>
      </w:r>
      <w:r>
        <w:rPr>
          <w:rFonts w:ascii="Arial" w:hAnsi="Arial" w:eastAsia="Times New Roman" w:cs="Arial"/>
          <w:sz w:val="24"/>
          <w:szCs w:val="24"/>
          <w:lang w:eastAsia="ru-RU"/>
        </w:rPr>
        <w:t> (для теплоизоляции в условиях резких температурных колебаний);</w:t>
      </w:r>
    </w:p>
    <w:p w14:paraId="29F24A26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ворота: рулонные, размер — 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6×5 м</w:t>
      </w:r>
      <w:r>
        <w:rPr>
          <w:rFonts w:ascii="Arial" w:hAnsi="Arial" w:eastAsia="Times New Roman" w:cs="Arial"/>
          <w:sz w:val="24"/>
          <w:szCs w:val="24"/>
          <w:lang w:eastAsia="ru-RU"/>
        </w:rPr>
        <w:t>, с уплотнителями и запорными механизмами, защита от несанкционированного доступа;</w:t>
      </w:r>
    </w:p>
    <w:p w14:paraId="4F135092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двери: проем 1,5м. на 2,4м., с торцов здания вне ворот (2шт.)</w:t>
      </w:r>
    </w:p>
    <w:p w14:paraId="3306D6CB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дополнительные элементы: вентиляционные продухи в верхней части арок для снижения температурной нагрузки.</w:t>
      </w:r>
    </w:p>
    <w:p w14:paraId="286AF6D9">
      <w:pPr>
        <w:shd w:val="clear" w:color="auto" w:fill="FFFFFF"/>
        <w:spacing w:before="120" w:after="120" w:line="420" w:lineRule="atLeast"/>
        <w:rPr>
          <w:rFonts w:ascii="Arial" w:hAnsi="Arial" w:eastAsia="Times New Roman" w:cs="Arial"/>
          <w:b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  <w:t>2.4. Инженерные системы:</w:t>
      </w:r>
    </w:p>
    <w:p w14:paraId="2A8CB927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color w:val="FF0000"/>
          <w:sz w:val="24"/>
          <w:szCs w:val="24"/>
          <w:highlight w:val="yellow"/>
          <w:lang w:eastAsia="ru-RU"/>
        </w:rPr>
      </w:pPr>
      <w:r>
        <w:rPr>
          <w:rFonts w:ascii="Arial" w:hAnsi="Arial" w:eastAsia="Times New Roman" w:cs="Arial"/>
          <w:color w:val="FF0000"/>
          <w:sz w:val="24"/>
          <w:szCs w:val="24"/>
          <w:highlight w:val="yellow"/>
          <w:lang w:eastAsia="ru-RU"/>
        </w:rPr>
        <w:t>противопожарная сигнализация</w:t>
      </w:r>
    </w:p>
    <w:p w14:paraId="73A7CA3B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color w:val="FF0000"/>
          <w:sz w:val="24"/>
          <w:szCs w:val="24"/>
          <w:highlight w:val="yellow"/>
          <w:lang w:eastAsia="ru-RU"/>
        </w:rPr>
      </w:pPr>
      <w:r>
        <w:rPr>
          <w:rFonts w:ascii="Arial" w:hAnsi="Arial" w:eastAsia="Times New Roman" w:cs="Arial"/>
          <w:color w:val="FF0000"/>
          <w:sz w:val="24"/>
          <w:szCs w:val="24"/>
          <w:highlight w:val="yellow"/>
          <w:lang w:eastAsia="ru-RU"/>
        </w:rPr>
        <w:t xml:space="preserve">освещение: светодиодные светильники, 50 Вт – 39 шт. со световым потоком не менее 5500 лм/шт или 100 </w:t>
      </w:r>
      <w:r>
        <w:rPr>
          <w:rFonts w:ascii="Times New Roman" w:hAnsi="Times New Roman" w:eastAsia="Times New Roman" w:cs="Times New Roman"/>
          <w:color w:val="FF0000"/>
          <w:sz w:val="29"/>
          <w:szCs w:val="29"/>
          <w:highlight w:val="yellow"/>
          <w:lang w:eastAsia="ru-RU"/>
        </w:rPr>
        <w:t>Вт - 20шт. со световым потоком не менее 11000 лм/шт.</w:t>
      </w:r>
      <w:r>
        <w:rPr>
          <w:rFonts w:ascii="Arial" w:hAnsi="Arial" w:eastAsia="Times New Roman" w:cs="Arial"/>
          <w:color w:val="FF0000"/>
          <w:sz w:val="24"/>
          <w:szCs w:val="24"/>
          <w:highlight w:val="yellow"/>
          <w:lang w:eastAsia="ru-RU"/>
        </w:rPr>
        <w:t>, из расчета по норме освещенности 150лк, степень защиты IP65;</w:t>
      </w:r>
    </w:p>
    <w:p w14:paraId="07063B10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вентиляция: комбинированная (естественная через продухи + принудительная), производительность — 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6000 м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>3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/ч</w:t>
      </w:r>
      <w:r>
        <w:rPr>
          <w:rFonts w:ascii="Arial" w:hAnsi="Arial" w:eastAsia="Times New Roman" w:cs="Arial"/>
          <w:sz w:val="24"/>
          <w:szCs w:val="24"/>
          <w:lang w:eastAsia="ru-RU"/>
        </w:rPr>
        <w:t>;</w:t>
      </w:r>
    </w:p>
    <w:p w14:paraId="15149195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color w:val="FF0000"/>
          <w:sz w:val="24"/>
          <w:szCs w:val="24"/>
          <w:highlight w:val="yellow"/>
          <w:lang w:eastAsia="ru-RU"/>
        </w:rPr>
      </w:pPr>
      <w:r>
        <w:rPr>
          <w:rFonts w:ascii="Arial" w:hAnsi="Arial" w:eastAsia="Times New Roman" w:cs="Arial"/>
          <w:color w:val="FF0000"/>
          <w:sz w:val="24"/>
          <w:szCs w:val="24"/>
          <w:highlight w:val="yellow"/>
          <w:lang w:eastAsia="ru-RU"/>
        </w:rPr>
        <w:t>электроснабжение: ВРУ 0,4кВ 160А, трёхфазная сеть </w:t>
      </w:r>
      <w:r>
        <w:rPr>
          <w:rFonts w:ascii="Times New Roman" w:hAnsi="Times New Roman" w:eastAsia="Times New Roman" w:cs="Times New Roman"/>
          <w:color w:val="FF0000"/>
          <w:sz w:val="29"/>
          <w:szCs w:val="29"/>
          <w:highlight w:val="yellow"/>
          <w:lang w:eastAsia="ru-RU"/>
        </w:rPr>
        <w:t>380 В</w:t>
      </w:r>
      <w:r>
        <w:rPr>
          <w:rFonts w:ascii="Arial" w:hAnsi="Arial" w:eastAsia="Times New Roman" w:cs="Arial"/>
          <w:color w:val="FF0000"/>
          <w:sz w:val="24"/>
          <w:szCs w:val="24"/>
          <w:highlight w:val="yellow"/>
          <w:lang w:eastAsia="ru-RU"/>
        </w:rPr>
        <w:t>, мощность -</w:t>
      </w:r>
      <w:r>
        <w:rPr>
          <w:rFonts w:ascii="Times New Roman" w:hAnsi="Times New Roman" w:eastAsia="Times New Roman" w:cs="Times New Roman"/>
          <w:color w:val="FF0000"/>
          <w:sz w:val="29"/>
          <w:szCs w:val="29"/>
          <w:highlight w:val="yellow"/>
          <w:lang w:eastAsia="ru-RU"/>
        </w:rPr>
        <w:t>35 кВт</w:t>
      </w:r>
      <w:r>
        <w:rPr>
          <w:rFonts w:ascii="Arial" w:hAnsi="Arial" w:eastAsia="Times New Roman" w:cs="Arial"/>
          <w:color w:val="FF0000"/>
          <w:sz w:val="24"/>
          <w:szCs w:val="24"/>
          <w:highlight w:val="yellow"/>
          <w:lang w:eastAsia="ru-RU"/>
        </w:rPr>
        <w:t>, с защитой от перепадов напряжения;</w:t>
      </w:r>
    </w:p>
    <w:p w14:paraId="5121C084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заземление: контур с сопротивлением не более 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4 Ом</w:t>
      </w:r>
      <w:r>
        <w:rPr>
          <w:rFonts w:ascii="Arial" w:hAnsi="Arial" w:eastAsia="Times New Roman" w:cs="Arial"/>
          <w:sz w:val="24"/>
          <w:szCs w:val="24"/>
          <w:lang w:eastAsia="ru-RU"/>
        </w:rPr>
        <w:t>;</w:t>
      </w:r>
    </w:p>
    <w:p w14:paraId="16E37B6C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молниезащита: молниеприёмная сетка по поверхности арки, токоотводы, заземляющее устройство.</w:t>
      </w:r>
    </w:p>
    <w:p w14:paraId="30028E31">
      <w:pPr>
        <w:shd w:val="clear" w:color="auto" w:fill="FFFFFF"/>
        <w:spacing w:before="300" w:after="60" w:line="360" w:lineRule="atLeast"/>
        <w:outlineLvl w:val="3"/>
        <w:rPr>
          <w:rFonts w:ascii="Arial" w:hAnsi="Arial" w:eastAsia="Times New Roman" w:cs="Arial"/>
          <w:b/>
          <w:bCs/>
          <w:sz w:val="24"/>
          <w:szCs w:val="24"/>
          <w:u w:val="single"/>
          <w:lang w:eastAsia="ru-RU"/>
        </w:rPr>
      </w:pPr>
      <w:r>
        <w:rPr>
          <w:rFonts w:ascii="Arial" w:hAnsi="Arial" w:eastAsia="Times New Roman" w:cs="Arial"/>
          <w:b/>
          <w:bCs/>
          <w:sz w:val="24"/>
          <w:szCs w:val="24"/>
          <w:u w:val="single"/>
          <w:lang w:eastAsia="ru-RU"/>
        </w:rPr>
        <w:t>3. Требования к производству</w:t>
      </w:r>
    </w:p>
    <w:p w14:paraId="6D15AADD">
      <w:pPr>
        <w:shd w:val="clear" w:color="auto" w:fill="FFFFFF"/>
        <w:spacing w:before="120" w:after="120" w:line="420" w:lineRule="atLeast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3.1. Изготовление элементов ангара должно производиться на специализированном оборудовании с ЧПУ с учётом повышенных требований к точности для обеспечения герметичности соединений в условиях пыльных бурь.</w:t>
      </w:r>
    </w:p>
    <w:p w14:paraId="7348E1E9">
      <w:pPr>
        <w:shd w:val="clear" w:color="auto" w:fill="FFFFFF"/>
        <w:spacing w:before="120" w:after="120" w:line="420" w:lineRule="atLeast"/>
        <w:rPr>
          <w:rFonts w:ascii="Arial" w:hAnsi="Arial" w:eastAsia="Times New Roman" w:cs="Arial"/>
          <w:b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  <w:t>3.2. Контроль качества:</w:t>
      </w:r>
    </w:p>
    <w:p w14:paraId="4E0F8AC6">
      <w:pPr>
        <w:numPr>
          <w:ilvl w:val="0"/>
          <w:numId w:val="5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входной контроль материалов (включая проверку толщины цинкового и полимерного покрытия);</w:t>
      </w:r>
    </w:p>
    <w:p w14:paraId="454BB3C2">
      <w:pPr>
        <w:numPr>
          <w:ilvl w:val="0"/>
          <w:numId w:val="5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операционный контроль на всех этапах производства;</w:t>
      </w:r>
    </w:p>
    <w:p w14:paraId="043BED8D">
      <w:pPr>
        <w:numPr>
          <w:ilvl w:val="0"/>
          <w:numId w:val="5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выходной контроль готовой продукции;</w:t>
      </w:r>
    </w:p>
    <w:p w14:paraId="0A14E60F">
      <w:pPr>
        <w:numPr>
          <w:ilvl w:val="0"/>
          <w:numId w:val="5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проверка герметичности соединений на тестовой сборке.</w:t>
      </w:r>
    </w:p>
    <w:p w14:paraId="5ECA8AE4">
      <w:pPr>
        <w:shd w:val="clear" w:color="auto" w:fill="FFFFFF"/>
        <w:spacing w:before="120" w:after="120" w:line="420" w:lineRule="atLeast"/>
        <w:rPr>
          <w:rFonts w:ascii="Arial" w:hAnsi="Arial" w:eastAsia="Times New Roman" w:cs="Arial"/>
          <w:b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  <w:t>3.3. Маркировка элементов:</w:t>
      </w:r>
    </w:p>
    <w:p w14:paraId="1B3F2492">
      <w:pPr>
        <w:numPr>
          <w:ilvl w:val="0"/>
          <w:numId w:val="6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каждый элемент должен иметь чёткую маркировку с указанием:</w:t>
      </w:r>
    </w:p>
    <w:p w14:paraId="606AC36A">
      <w:pPr>
        <w:numPr>
          <w:ilvl w:val="1"/>
          <w:numId w:val="6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номера элемента по схеме монтажа;</w:t>
      </w:r>
    </w:p>
    <w:p w14:paraId="7AD79332">
      <w:pPr>
        <w:numPr>
          <w:ilvl w:val="1"/>
          <w:numId w:val="6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даты изготовления;</w:t>
      </w:r>
    </w:p>
    <w:p w14:paraId="3B36CF43">
      <w:pPr>
        <w:numPr>
          <w:ilvl w:val="1"/>
          <w:numId w:val="6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партии производства.</w:t>
      </w:r>
    </w:p>
    <w:p w14:paraId="40BA1EF9">
      <w:pPr>
        <w:shd w:val="clear" w:color="auto" w:fill="FFFFFF"/>
        <w:spacing w:before="120" w:after="120" w:line="420" w:lineRule="atLeast"/>
        <w:rPr>
          <w:rFonts w:ascii="Arial" w:hAnsi="Arial" w:eastAsia="Times New Roman" w:cs="Arial"/>
          <w:b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  <w:t>3.4. Упаковка и транспортировка:</w:t>
      </w:r>
    </w:p>
    <w:p w14:paraId="3F4303EF">
      <w:pPr>
        <w:numPr>
          <w:ilvl w:val="0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элементы должны быть упакованы в защитные плёнки с УФ</w:t>
      </w:r>
      <w:r>
        <w:rPr>
          <w:rFonts w:ascii="Arial" w:hAnsi="Arial" w:eastAsia="Times New Roman" w:cs="Arial"/>
          <w:sz w:val="24"/>
          <w:szCs w:val="24"/>
          <w:lang w:eastAsia="ru-RU"/>
        </w:rPr>
        <w:noBreakHyphen/>
      </w:r>
      <w:r>
        <w:rPr>
          <w:rFonts w:ascii="Arial" w:hAnsi="Arial" w:eastAsia="Times New Roman" w:cs="Arial"/>
          <w:sz w:val="24"/>
          <w:szCs w:val="24"/>
          <w:lang w:eastAsia="ru-RU"/>
        </w:rPr>
        <w:t>защитой;</w:t>
      </w:r>
    </w:p>
    <w:p w14:paraId="08FABAA0">
      <w:pPr>
        <w:numPr>
          <w:ilvl w:val="0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формирование транспортных пакетов с фиксацией элементов и защитой от механических повреждений;</w:t>
      </w:r>
    </w:p>
    <w:p w14:paraId="15D63497">
      <w:pPr>
        <w:numPr>
          <w:ilvl w:val="0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комплектация сопроводительной документацией.</w:t>
      </w:r>
    </w:p>
    <w:p w14:paraId="55AC3BA1">
      <w:pPr>
        <w:shd w:val="clear" w:color="auto" w:fill="FFFFFF"/>
        <w:spacing w:before="300" w:after="60" w:line="360" w:lineRule="atLeast"/>
        <w:outlineLvl w:val="3"/>
        <w:rPr>
          <w:rFonts w:ascii="Arial" w:hAnsi="Arial" w:eastAsia="Times New Roman" w:cs="Arial"/>
          <w:b/>
          <w:bCs/>
          <w:sz w:val="24"/>
          <w:szCs w:val="24"/>
          <w:u w:val="single"/>
          <w:lang w:eastAsia="ru-RU"/>
        </w:rPr>
      </w:pPr>
      <w:r>
        <w:rPr>
          <w:rFonts w:ascii="Arial" w:hAnsi="Arial" w:eastAsia="Times New Roman" w:cs="Arial"/>
          <w:b/>
          <w:bCs/>
          <w:sz w:val="24"/>
          <w:szCs w:val="24"/>
          <w:u w:val="single"/>
          <w:lang w:eastAsia="ru-RU"/>
        </w:rPr>
        <w:t>4. Требования к монтажу</w:t>
      </w:r>
    </w:p>
    <w:p w14:paraId="4B7860DC">
      <w:pPr>
        <w:shd w:val="clear" w:color="auto" w:fill="FFFFFF"/>
        <w:spacing w:before="120" w:after="120" w:line="420" w:lineRule="atLeast"/>
        <w:rPr>
          <w:rFonts w:ascii="Arial" w:hAnsi="Arial" w:eastAsia="Times New Roman" w:cs="Arial"/>
          <w:b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  <w:t>4.1. Подготовительные работы:</w:t>
      </w:r>
    </w:p>
    <w:p w14:paraId="6428BBCD">
      <w:pPr>
        <w:numPr>
          <w:ilvl w:val="0"/>
          <w:numId w:val="8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планировка площадки с уклоном для отвода воды (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1–2%</w:t>
      </w:r>
      <w:r>
        <w:rPr>
          <w:rFonts w:ascii="Arial" w:hAnsi="Arial" w:eastAsia="Times New Roman" w:cs="Arial"/>
          <w:sz w:val="24"/>
          <w:szCs w:val="24"/>
          <w:lang w:eastAsia="ru-RU"/>
        </w:rPr>
        <w:t>);</w:t>
      </w:r>
    </w:p>
    <w:p w14:paraId="09B98630">
      <w:pPr>
        <w:numPr>
          <w:ilvl w:val="0"/>
          <w:numId w:val="8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устройство фундамента: ленточный мелкозаглублённый с усилением в зонах повышенной ветровой нагрузки, ширина — 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400 мм</w:t>
      </w:r>
      <w:r>
        <w:rPr>
          <w:rFonts w:ascii="Arial" w:hAnsi="Arial" w:eastAsia="Times New Roman" w:cs="Arial"/>
          <w:sz w:val="24"/>
          <w:szCs w:val="24"/>
          <w:lang w:eastAsia="ru-RU"/>
        </w:rPr>
        <w:t>, глубина — 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700 мм</w:t>
      </w:r>
      <w:r>
        <w:rPr>
          <w:rFonts w:ascii="Arial" w:hAnsi="Arial" w:eastAsia="Times New Roman" w:cs="Arial"/>
          <w:sz w:val="24"/>
          <w:szCs w:val="24"/>
          <w:lang w:eastAsia="ru-RU"/>
        </w:rPr>
        <w:t>, армирование — арматура </w:t>
      </w:r>
      <w:r>
        <w:rPr>
          <w:rFonts w:ascii="KaTeX_Math" w:hAnsi="KaTeX_Math" w:eastAsia="Times New Roman" w:cs="Times New Roman"/>
          <w:i/>
          <w:iCs/>
          <w:sz w:val="29"/>
          <w:szCs w:val="29"/>
          <w:lang w:eastAsia="ru-RU"/>
        </w:rPr>
        <w:t>AIII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 </w:t>
      </w:r>
      <w:r>
        <w:rPr>
          <w:rFonts w:ascii="Cambria Math" w:hAnsi="Cambria Math" w:eastAsia="Times New Roman" w:cs="Cambria Math"/>
          <w:sz w:val="29"/>
          <w:szCs w:val="29"/>
          <w:lang w:eastAsia="ru-RU"/>
        </w:rPr>
        <w:t>∅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12 мм</w:t>
      </w:r>
      <w:r>
        <w:rPr>
          <w:rFonts w:ascii="Arial" w:hAnsi="Arial" w:eastAsia="Times New Roman" w:cs="Arial"/>
          <w:sz w:val="24"/>
          <w:szCs w:val="24"/>
          <w:lang w:eastAsia="ru-RU"/>
        </w:rPr>
        <w:t>;</w:t>
      </w:r>
    </w:p>
    <w:p w14:paraId="2D5D8354">
      <w:pPr>
        <w:numPr>
          <w:ilvl w:val="0"/>
          <w:numId w:val="8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подготовка основания и монтаж сборных полов из железобетонных плит;</w:t>
      </w:r>
    </w:p>
    <w:p w14:paraId="77840794">
      <w:pPr>
        <w:numPr>
          <w:ilvl w:val="0"/>
          <w:numId w:val="8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разметка осей монтажа с учётом геодезических данных участка;</w:t>
      </w:r>
    </w:p>
    <w:p w14:paraId="1F239F58">
      <w:pPr>
        <w:numPr>
          <w:ilvl w:val="0"/>
          <w:numId w:val="8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подготовка дренажной системы для отвода ливневых вод.</w:t>
      </w:r>
    </w:p>
    <w:p w14:paraId="34A4C012">
      <w:pPr>
        <w:shd w:val="clear" w:color="auto" w:fill="FFFFFF"/>
        <w:spacing w:before="120" w:after="120" w:line="420" w:lineRule="atLeast"/>
        <w:rPr>
          <w:rFonts w:ascii="Arial" w:hAnsi="Arial" w:eastAsia="Times New Roman" w:cs="Arial"/>
          <w:b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  <w:t>4.2. Этапы монтажа:</w:t>
      </w:r>
    </w:p>
    <w:p w14:paraId="2F6948DC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установка и закрепление торцевых стен с обеспечением герметичности;</w:t>
      </w:r>
    </w:p>
    <w:p w14:paraId="751CDCFC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монтаж арочных элементов с последовательным соединением и дополнительной герметизацией стыков;</w:t>
      </w:r>
    </w:p>
    <w:p w14:paraId="6F56B12C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установка ворот и дверей с регулировкой механизмов открывания;</w:t>
      </w:r>
    </w:p>
    <w:p w14:paraId="6BD7C81D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монтаж инженерных систем (включая молниезащиту);</w:t>
      </w:r>
    </w:p>
    <w:p w14:paraId="5024E65D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герметизация всех стыков и швов специализированными составами, устойчивыми к УФ</w:t>
      </w:r>
      <w:r>
        <w:rPr>
          <w:rFonts w:ascii="Arial" w:hAnsi="Arial" w:eastAsia="Times New Roman" w:cs="Arial"/>
          <w:sz w:val="24"/>
          <w:szCs w:val="24"/>
          <w:lang w:eastAsia="ru-RU"/>
        </w:rPr>
        <w:noBreakHyphen/>
      </w:r>
      <w:r>
        <w:rPr>
          <w:rFonts w:ascii="Arial" w:hAnsi="Arial" w:eastAsia="Times New Roman" w:cs="Arial"/>
          <w:sz w:val="24"/>
          <w:szCs w:val="24"/>
          <w:lang w:eastAsia="ru-RU"/>
        </w:rPr>
        <w:t>излучению и перепадам температур;</w:t>
      </w:r>
    </w:p>
    <w:p w14:paraId="32A651EE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контроль качества монтажа, включая проверку герметичности и устойчивости конструкции к ветровым нагрузкам.</w:t>
      </w:r>
    </w:p>
    <w:p w14:paraId="31A1F0A0">
      <w:pPr>
        <w:shd w:val="clear" w:color="auto" w:fill="FFFFFF"/>
        <w:spacing w:before="120" w:after="120" w:line="420" w:lineRule="atLeast"/>
        <w:rPr>
          <w:rFonts w:ascii="Arial" w:hAnsi="Arial" w:eastAsia="Times New Roman" w:cs="Arial"/>
          <w:b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  <w:t>4.3. Требования к персоналу:</w:t>
      </w:r>
    </w:p>
    <w:p w14:paraId="2C9909CF">
      <w:pPr>
        <w:numPr>
          <w:ilvl w:val="0"/>
          <w:numId w:val="10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монтажники должны иметь соответствующие допуски и опыт работы с бескаркасными конструкциями в условиях повышенной ветровой нагрузки;</w:t>
      </w:r>
    </w:p>
    <w:p w14:paraId="061A2252">
      <w:pPr>
        <w:numPr>
          <w:ilvl w:val="0"/>
          <w:numId w:val="10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ответственный за монтаж должен иметь удостоверение о прохождении обучения по технике безопасности и знании особенностей монтажа в Астраханской области.</w:t>
      </w:r>
    </w:p>
    <w:p w14:paraId="33A34848">
      <w:pPr>
        <w:shd w:val="clear" w:color="auto" w:fill="FFFFFF"/>
        <w:spacing w:before="300" w:after="60" w:line="360" w:lineRule="atLeast"/>
        <w:outlineLvl w:val="3"/>
        <w:rPr>
          <w:rFonts w:ascii="Arial" w:hAnsi="Arial" w:eastAsia="Times New Roman" w:cs="Arial"/>
          <w:b/>
          <w:bCs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z w:val="24"/>
          <w:szCs w:val="24"/>
          <w:lang w:eastAsia="ru-RU"/>
        </w:rPr>
        <w:t>5. Требования безопасности</w:t>
      </w:r>
    </w:p>
    <w:p w14:paraId="1A18B73E">
      <w:pPr>
        <w:shd w:val="clear" w:color="auto" w:fill="FFFFFF"/>
        <w:spacing w:before="120" w:after="120" w:line="420" w:lineRule="atLeast"/>
        <w:rPr>
          <w:rFonts w:ascii="Arial" w:hAnsi="Arial" w:eastAsia="Times New Roman" w:cs="Arial"/>
          <w:b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  <w:t>5.1. Соблюдение норм:</w:t>
      </w:r>
    </w:p>
    <w:p w14:paraId="413A8B22">
      <w:pPr>
        <w:numPr>
          <w:ilvl w:val="0"/>
          <w:numId w:val="11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СНиП 12-03-2001 «Безопасность труда в строительстве»;</w:t>
      </w:r>
    </w:p>
    <w:p w14:paraId="7DF8675F">
      <w:pPr>
        <w:numPr>
          <w:ilvl w:val="0"/>
          <w:numId w:val="11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СП 48.13330.2019 «Организация строительства»;</w:t>
      </w:r>
    </w:p>
    <w:p w14:paraId="3DA2A76A">
      <w:pPr>
        <w:numPr>
          <w:ilvl w:val="0"/>
          <w:numId w:val="11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правила пожарной безопасности;</w:t>
      </w:r>
    </w:p>
    <w:p w14:paraId="23FD69BF">
      <w:pPr>
        <w:numPr>
          <w:ilvl w:val="0"/>
          <w:numId w:val="11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СП 20.13330.2016 «Нагрузки и воздействия» (с учётом ветровых и снеговых нагрузок региона).</w:t>
      </w:r>
    </w:p>
    <w:p w14:paraId="4BCE8EDD">
      <w:pPr>
        <w:shd w:val="clear" w:color="auto" w:fill="FFFFFF"/>
        <w:spacing w:before="120" w:after="120" w:line="420" w:lineRule="atLeast"/>
        <w:rPr>
          <w:rFonts w:ascii="Arial" w:hAnsi="Arial" w:eastAsia="Times New Roman" w:cs="Arial"/>
          <w:b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  <w:t>5.2. Меры безопасности при монтаже:</w:t>
      </w:r>
    </w:p>
    <w:p w14:paraId="4E4BA341">
      <w:pPr>
        <w:numPr>
          <w:ilvl w:val="0"/>
          <w:numId w:val="12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использование страховочных поясов на высоте;</w:t>
      </w:r>
    </w:p>
    <w:p w14:paraId="46C2CED4">
      <w:pPr>
        <w:numPr>
          <w:ilvl w:val="0"/>
          <w:numId w:val="12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ограждение опасной зоны;</w:t>
      </w:r>
    </w:p>
    <w:p w14:paraId="3A85692B">
      <w:pPr>
        <w:numPr>
          <w:ilvl w:val="0"/>
          <w:numId w:val="12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соблюдение правил работы с грузоподъёмными механизмами;</w:t>
      </w:r>
    </w:p>
    <w:p w14:paraId="2B205B68">
      <w:pPr>
        <w:numPr>
          <w:ilvl w:val="0"/>
          <w:numId w:val="12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контроль устойчивости конструкции на всех этапах монтажа.</w:t>
      </w:r>
    </w:p>
    <w:p w14:paraId="135F74E2">
      <w:pPr>
        <w:shd w:val="clear" w:color="auto" w:fill="FFFFFF"/>
        <w:spacing w:before="300" w:after="60" w:line="360" w:lineRule="atLeast"/>
        <w:outlineLvl w:val="3"/>
        <w:rPr>
          <w:rFonts w:ascii="Arial" w:hAnsi="Arial" w:eastAsia="Times New Roman" w:cs="Arial"/>
          <w:b/>
          <w:bCs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z w:val="24"/>
          <w:szCs w:val="24"/>
          <w:lang w:eastAsia="ru-RU"/>
        </w:rPr>
        <w:t>6. Приёмка работ</w:t>
      </w:r>
    </w:p>
    <w:p w14:paraId="5013BC3F">
      <w:pPr>
        <w:shd w:val="clear" w:color="auto" w:fill="FFFFFF"/>
        <w:spacing w:before="120" w:after="120" w:line="420" w:lineRule="atLeast"/>
        <w:rPr>
          <w:rFonts w:ascii="Arial" w:hAnsi="Arial" w:eastAsia="Times New Roman" w:cs="Arial"/>
          <w:b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  <w:t>6.1. Этапы приёмки:</w:t>
      </w:r>
    </w:p>
    <w:p w14:paraId="202994EE">
      <w:pPr>
        <w:numPr>
          <w:ilvl w:val="0"/>
          <w:numId w:val="13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промежуточная приёмка фундамента;</w:t>
      </w:r>
    </w:p>
    <w:p w14:paraId="76433258">
      <w:pPr>
        <w:numPr>
          <w:ilvl w:val="0"/>
          <w:numId w:val="13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приёмка смонтированной конструкции с испытанием на ветровую нагрузку (имитация);</w:t>
      </w:r>
    </w:p>
    <w:p w14:paraId="0AEF498A">
      <w:pPr>
        <w:numPr>
          <w:ilvl w:val="0"/>
          <w:numId w:val="13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испытание инженерных систем;</w:t>
      </w:r>
    </w:p>
    <w:p w14:paraId="18E4F872">
      <w:pPr>
        <w:numPr>
          <w:ilvl w:val="0"/>
          <w:numId w:val="13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итоговая приёмка объекта.</w:t>
      </w:r>
    </w:p>
    <w:p w14:paraId="231BE191">
      <w:pPr>
        <w:shd w:val="clear" w:color="auto" w:fill="FFFFFF"/>
        <w:spacing w:before="120" w:after="120" w:line="420" w:lineRule="atLeast"/>
        <w:rPr>
          <w:rFonts w:ascii="Arial" w:hAnsi="Arial" w:eastAsia="Times New Roman" w:cs="Arial"/>
          <w:b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  <w:t>6.2. Документация для приёмки:</w:t>
      </w:r>
    </w:p>
    <w:p w14:paraId="7FA93B55">
      <w:pPr>
        <w:numPr>
          <w:ilvl w:val="0"/>
          <w:numId w:val="14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акт выполненных работ;</w:t>
      </w:r>
    </w:p>
    <w:p w14:paraId="1A562CE8">
      <w:pPr>
        <w:numPr>
          <w:ilvl w:val="0"/>
          <w:numId w:val="14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акты скрытых работ;</w:t>
      </w:r>
    </w:p>
    <w:p w14:paraId="77059206">
      <w:pPr>
        <w:numPr>
          <w:ilvl w:val="0"/>
          <w:numId w:val="14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протоколы испытаний (в т. ч. на герметичность и заземление);</w:t>
      </w:r>
    </w:p>
    <w:p w14:paraId="2BBFF6E7">
      <w:pPr>
        <w:numPr>
          <w:ilvl w:val="0"/>
          <w:numId w:val="14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паспорта и сертификаты на материалы;</w:t>
      </w:r>
    </w:p>
    <w:p w14:paraId="7E6FC62B">
      <w:pPr>
        <w:numPr>
          <w:ilvl w:val="0"/>
          <w:numId w:val="14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инструкция по эксплуатации с учётом климатических условий региона;</w:t>
      </w:r>
    </w:p>
    <w:p w14:paraId="2112600D">
      <w:pPr>
        <w:numPr>
          <w:ilvl w:val="0"/>
          <w:numId w:val="14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паспорт молниезащиты.</w:t>
      </w:r>
    </w:p>
    <w:p w14:paraId="58FB9316">
      <w:pPr>
        <w:shd w:val="clear" w:color="auto" w:fill="FFFFFF"/>
        <w:spacing w:before="120" w:after="120" w:line="420" w:lineRule="atLeast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6.3. Гарантийные обязательства:</w:t>
      </w:r>
    </w:p>
    <w:p w14:paraId="46468DF4">
      <w:pPr>
        <w:numPr>
          <w:ilvl w:val="0"/>
          <w:numId w:val="15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гарантия на конструкцию — 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7</w:t>
      </w:r>
      <w:r>
        <w:rPr>
          <w:rFonts w:ascii="Arial" w:hAnsi="Arial" w:eastAsia="Times New Roman" w:cs="Arial"/>
          <w:sz w:val="24"/>
          <w:szCs w:val="24"/>
          <w:lang w:eastAsia="ru-RU"/>
        </w:rPr>
        <w:t> лет (с учётом повышенной ветровой и УФ</w:t>
      </w:r>
      <w:r>
        <w:rPr>
          <w:rFonts w:ascii="Arial" w:hAnsi="Arial" w:eastAsia="Times New Roman" w:cs="Arial"/>
          <w:sz w:val="24"/>
          <w:szCs w:val="24"/>
          <w:lang w:eastAsia="ru-RU"/>
        </w:rPr>
        <w:noBreakHyphen/>
      </w:r>
      <w:r>
        <w:rPr>
          <w:rFonts w:ascii="Arial" w:hAnsi="Arial" w:eastAsia="Times New Roman" w:cs="Arial"/>
          <w:sz w:val="24"/>
          <w:szCs w:val="24"/>
          <w:lang w:eastAsia="ru-RU"/>
        </w:rPr>
        <w:t>нагрузки);</w:t>
      </w:r>
    </w:p>
    <w:p w14:paraId="1BC0B71D">
      <w:pPr>
        <w:numPr>
          <w:ilvl w:val="0"/>
          <w:numId w:val="15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гарантия на монтаж — 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5</w:t>
      </w:r>
      <w:r>
        <w:rPr>
          <w:rFonts w:ascii="Arial" w:hAnsi="Arial" w:eastAsia="Times New Roman" w:cs="Arial"/>
          <w:sz w:val="24"/>
          <w:szCs w:val="24"/>
          <w:lang w:eastAsia="ru-RU"/>
        </w:rPr>
        <w:t> лет;</w:t>
      </w:r>
    </w:p>
    <w:p w14:paraId="4B3D9579">
      <w:pPr>
        <w:numPr>
          <w:ilvl w:val="0"/>
          <w:numId w:val="15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гарантийный срок на инженерные системы — </w:t>
      </w:r>
      <w:r>
        <w:rPr>
          <w:rFonts w:ascii="Times New Roman" w:hAnsi="Times New Roman" w:eastAsia="Times New Roman" w:cs="Times New Roman"/>
          <w:sz w:val="29"/>
          <w:szCs w:val="29"/>
          <w:lang w:eastAsia="ru-RU"/>
        </w:rPr>
        <w:t>3</w:t>
      </w:r>
      <w:r>
        <w:rPr>
          <w:rFonts w:ascii="Arial" w:hAnsi="Arial" w:eastAsia="Times New Roman" w:cs="Arial"/>
          <w:sz w:val="24"/>
          <w:szCs w:val="24"/>
          <w:lang w:eastAsia="ru-RU"/>
        </w:rPr>
        <w:t> года.</w:t>
      </w:r>
    </w:p>
    <w:p w14:paraId="149C16CE">
      <w:pPr>
        <w:shd w:val="clear" w:color="auto" w:fill="FFFFFF"/>
        <w:spacing w:before="300" w:after="60" w:line="360" w:lineRule="atLeast"/>
        <w:outlineLvl w:val="3"/>
        <w:rPr>
          <w:rFonts w:ascii="Arial" w:hAnsi="Arial" w:eastAsia="Times New Roman" w:cs="Arial"/>
          <w:b/>
          <w:bCs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sz w:val="24"/>
          <w:szCs w:val="24"/>
          <w:lang w:eastAsia="ru-RU"/>
        </w:rPr>
        <w:t>7. Иные требования</w:t>
      </w:r>
    </w:p>
    <w:p w14:paraId="43239A21">
      <w:pPr>
        <w:shd w:val="clear" w:color="auto" w:fill="FFFFFF"/>
        <w:spacing w:before="120" w:after="120" w:line="420" w:lineRule="atLeast"/>
        <w:rPr>
          <w:rFonts w:ascii="Arial" w:hAnsi="Arial" w:eastAsia="Times New Roman" w:cs="Arial"/>
          <w:b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  <w:t>7.1. Исполнитель обязан предоставить:</w:t>
      </w:r>
    </w:p>
    <w:p w14:paraId="47DCADCB">
      <w:pPr>
        <w:numPr>
          <w:ilvl w:val="0"/>
          <w:numId w:val="16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проект производства работ (ППР) с учётом климатических особенностей Астраханской области;</w:t>
      </w:r>
    </w:p>
    <w:p w14:paraId="78041B5C">
      <w:pPr>
        <w:numPr>
          <w:ilvl w:val="0"/>
          <w:numId w:val="16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календарный график выполнения работ с учётом сезонности (избежание монтажа в период пыльных бурь);</w:t>
      </w:r>
    </w:p>
    <w:p w14:paraId="509A97B9">
      <w:pPr>
        <w:numPr>
          <w:ilvl w:val="0"/>
          <w:numId w:val="16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график поставки материалов и оборудования.</w:t>
      </w:r>
    </w:p>
    <w:p w14:paraId="55BB856C">
      <w:pPr>
        <w:shd w:val="clear" w:color="auto" w:fill="FFFFFF"/>
        <w:spacing w:before="120" w:after="120" w:line="420" w:lineRule="atLeast"/>
        <w:rPr>
          <w:rFonts w:ascii="Arial" w:hAnsi="Arial" w:eastAsia="Times New Roman" w:cs="Arial"/>
          <w:b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  <w:t>7.2. Исполнитель несёт ответственность за:</w:t>
      </w:r>
    </w:p>
    <w:p w14:paraId="15FA6BAF">
      <w:pPr>
        <w:numPr>
          <w:ilvl w:val="0"/>
          <w:numId w:val="17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сохранность материалов на площадке;</w:t>
      </w:r>
    </w:p>
    <w:p w14:paraId="4301DE2F">
      <w:pPr>
        <w:numPr>
          <w:ilvl w:val="0"/>
          <w:numId w:val="17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уборку строительного мусора;</w:t>
      </w:r>
    </w:p>
    <w:p w14:paraId="39B58119">
      <w:pPr>
        <w:spacing w:before="480" w:after="48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pict>
          <v:rect id="_x0000_i1025" o:spt="1" style="height:1.5pt;width:0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  <w:r>
        <w:rPr>
          <w:rFonts w:ascii="Arial" w:hAnsi="Arial" w:eastAsia="Times New Roman" w:cs="Arial"/>
          <w:b/>
          <w:bCs/>
          <w:sz w:val="24"/>
          <w:szCs w:val="24"/>
          <w:lang w:eastAsia="ru-RU"/>
        </w:rPr>
        <w:t>Приложения:</w:t>
      </w:r>
    </w:p>
    <w:p w14:paraId="032675A0">
      <w:pPr>
        <w:numPr>
          <w:ilvl w:val="0"/>
          <w:numId w:val="18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План базы производственного обеспечения с привязкой ангара.</w:t>
      </w:r>
    </w:p>
    <w:p w14:paraId="757B30EC">
      <w:pPr>
        <w:numPr>
          <w:ilvl w:val="0"/>
          <w:numId w:val="18"/>
        </w:numPr>
        <w:shd w:val="clear" w:color="auto" w:fill="FFFFFF"/>
        <w:spacing w:before="120" w:after="120" w:line="420" w:lineRule="atLeast"/>
        <w:ind w:left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sz w:val="24"/>
          <w:szCs w:val="24"/>
          <w:lang w:eastAsia="ru-RU"/>
        </w:rPr>
        <w:t>Эскиз бескаркасного ангара 20*30 м.</w:t>
      </w:r>
    </w:p>
    <w:sectPr>
      <w:footerReference r:id="rId5" w:type="default"/>
      <w:pgSz w:w="11906" w:h="16838"/>
      <w:pgMar w:top="709" w:right="850" w:bottom="993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Cambria Math">
    <w:panose1 w:val="02040503050406030204"/>
    <w:charset w:val="CC"/>
    <w:family w:val="roman"/>
    <w:pitch w:val="default"/>
    <w:sig w:usb0="E00002FF" w:usb1="420024FF" w:usb2="00000000" w:usb3="00000000" w:csb0="2000019F" w:csb1="00000000"/>
  </w:font>
  <w:font w:name="KaTeX_Mat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6609013"/>
      <w:docPartObj>
        <w:docPartGallery w:val="AutoText"/>
      </w:docPartObj>
    </w:sdtPr>
    <w:sdtContent>
      <w:p w14:paraId="34E7696C">
        <w:pPr>
          <w:pStyle w:val="8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2CC428D4">
    <w:pPr>
      <w:pStyle w:val="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0E4C8D"/>
    <w:multiLevelType w:val="multilevel"/>
    <w:tmpl w:val="120E4C8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131F4902"/>
    <w:multiLevelType w:val="multilevel"/>
    <w:tmpl w:val="131F490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245A431E"/>
    <w:multiLevelType w:val="multilevel"/>
    <w:tmpl w:val="245A431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291F52C3"/>
    <w:multiLevelType w:val="multilevel"/>
    <w:tmpl w:val="291F52C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2CDE6FE0"/>
    <w:multiLevelType w:val="multilevel"/>
    <w:tmpl w:val="2CDE6FE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34427477"/>
    <w:multiLevelType w:val="multilevel"/>
    <w:tmpl w:val="3442747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35E260C2"/>
    <w:multiLevelType w:val="multilevel"/>
    <w:tmpl w:val="35E260C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3B9B5FB6"/>
    <w:multiLevelType w:val="multilevel"/>
    <w:tmpl w:val="3B9B5FB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49D70D37"/>
    <w:multiLevelType w:val="multilevel"/>
    <w:tmpl w:val="49D70D3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4B165568"/>
    <w:multiLevelType w:val="multilevel"/>
    <w:tmpl w:val="4B16556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>
    <w:nsid w:val="4DCB2859"/>
    <w:multiLevelType w:val="multilevel"/>
    <w:tmpl w:val="4DCB285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>
    <w:nsid w:val="51DD5F73"/>
    <w:multiLevelType w:val="multilevel"/>
    <w:tmpl w:val="51DD5F7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>
    <w:nsid w:val="51E349EF"/>
    <w:multiLevelType w:val="multilevel"/>
    <w:tmpl w:val="51E349E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>
    <w:nsid w:val="56513709"/>
    <w:multiLevelType w:val="multilevel"/>
    <w:tmpl w:val="5651370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>
    <w:nsid w:val="66AD3617"/>
    <w:multiLevelType w:val="multilevel"/>
    <w:tmpl w:val="66AD361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>
    <w:nsid w:val="73B53546"/>
    <w:multiLevelType w:val="multilevel"/>
    <w:tmpl w:val="73B5354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>
    <w:nsid w:val="77490495"/>
    <w:multiLevelType w:val="multilevel"/>
    <w:tmpl w:val="7749049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>
    <w:nsid w:val="78022641"/>
    <w:multiLevelType w:val="multilevel"/>
    <w:tmpl w:val="7802264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2"/>
  </w:num>
  <w:num w:numId="5">
    <w:abstractNumId w:val="0"/>
  </w:num>
  <w:num w:numId="6">
    <w:abstractNumId w:val="16"/>
  </w:num>
  <w:num w:numId="7">
    <w:abstractNumId w:val="11"/>
  </w:num>
  <w:num w:numId="8">
    <w:abstractNumId w:val="17"/>
  </w:num>
  <w:num w:numId="9">
    <w:abstractNumId w:val="8"/>
  </w:num>
  <w:num w:numId="10">
    <w:abstractNumId w:val="3"/>
  </w:num>
  <w:num w:numId="11">
    <w:abstractNumId w:val="4"/>
  </w:num>
  <w:num w:numId="12">
    <w:abstractNumId w:val="14"/>
  </w:num>
  <w:num w:numId="13">
    <w:abstractNumId w:val="2"/>
  </w:num>
  <w:num w:numId="14">
    <w:abstractNumId w:val="7"/>
  </w:num>
  <w:num w:numId="15">
    <w:abstractNumId w:val="9"/>
  </w:num>
  <w:num w:numId="16">
    <w:abstractNumId w:val="13"/>
  </w:num>
  <w:num w:numId="17">
    <w:abstractNumId w:val="1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91C"/>
    <w:rsid w:val="001019F2"/>
    <w:rsid w:val="001D5FA1"/>
    <w:rsid w:val="001E195B"/>
    <w:rsid w:val="003F1EB3"/>
    <w:rsid w:val="0049706B"/>
    <w:rsid w:val="005B091C"/>
    <w:rsid w:val="00635522"/>
    <w:rsid w:val="008108F8"/>
    <w:rsid w:val="00A1543D"/>
    <w:rsid w:val="00B82973"/>
    <w:rsid w:val="00BB11F1"/>
    <w:rsid w:val="00C50341"/>
    <w:rsid w:val="00C94EA0"/>
    <w:rsid w:val="00CD3C64"/>
    <w:rsid w:val="00D02AD4"/>
    <w:rsid w:val="00D05A10"/>
    <w:rsid w:val="43C7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3"/>
    <w:basedOn w:val="1"/>
    <w:link w:val="10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paragraph" w:styleId="3">
    <w:name w:val="heading 4"/>
    <w:basedOn w:val="1"/>
    <w:link w:val="11"/>
    <w:qFormat/>
    <w:uiPriority w:val="9"/>
    <w:pPr>
      <w:spacing w:before="100" w:beforeAutospacing="1" w:after="100" w:afterAutospacing="1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4"/>
    <w:qFormat/>
    <w:uiPriority w:val="22"/>
    <w:rPr>
      <w:b/>
      <w:bCs/>
    </w:rPr>
  </w:style>
  <w:style w:type="paragraph" w:styleId="7">
    <w:name w:val="header"/>
    <w:basedOn w:val="1"/>
    <w:link w:val="28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footer"/>
    <w:basedOn w:val="1"/>
    <w:link w:val="29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9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0">
    <w:name w:val="Заголовок 3 Знак"/>
    <w:basedOn w:val="4"/>
    <w:link w:val="2"/>
    <w:uiPriority w:val="9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customStyle="1" w:styleId="11">
    <w:name w:val="Заголовок 4 Знак"/>
    <w:basedOn w:val="4"/>
    <w:link w:val="3"/>
    <w:uiPriority w:val="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customStyle="1" w:styleId="12">
    <w:name w:val="markdown-word"/>
    <w:basedOn w:val="4"/>
    <w:uiPriority w:val="0"/>
  </w:style>
  <w:style w:type="character" w:customStyle="1" w:styleId="13">
    <w:name w:val="katex"/>
    <w:basedOn w:val="4"/>
    <w:uiPriority w:val="0"/>
  </w:style>
  <w:style w:type="character" w:customStyle="1" w:styleId="14">
    <w:name w:val="katex-html"/>
    <w:basedOn w:val="4"/>
    <w:uiPriority w:val="0"/>
  </w:style>
  <w:style w:type="character" w:customStyle="1" w:styleId="15">
    <w:name w:val="base"/>
    <w:basedOn w:val="4"/>
    <w:uiPriority w:val="0"/>
  </w:style>
  <w:style w:type="character" w:customStyle="1" w:styleId="16">
    <w:name w:val="strut"/>
    <w:basedOn w:val="4"/>
    <w:uiPriority w:val="0"/>
  </w:style>
  <w:style w:type="character" w:customStyle="1" w:styleId="17">
    <w:name w:val="mord"/>
    <w:basedOn w:val="4"/>
    <w:uiPriority w:val="0"/>
  </w:style>
  <w:style w:type="character" w:customStyle="1" w:styleId="18">
    <w:name w:val="mspace"/>
    <w:basedOn w:val="4"/>
    <w:uiPriority w:val="0"/>
  </w:style>
  <w:style w:type="character" w:customStyle="1" w:styleId="19">
    <w:name w:val="msupsub"/>
    <w:basedOn w:val="4"/>
    <w:uiPriority w:val="0"/>
  </w:style>
  <w:style w:type="character" w:customStyle="1" w:styleId="20">
    <w:name w:val="vlist-t"/>
    <w:basedOn w:val="4"/>
    <w:uiPriority w:val="0"/>
  </w:style>
  <w:style w:type="character" w:customStyle="1" w:styleId="21">
    <w:name w:val="vlist-r"/>
    <w:basedOn w:val="4"/>
    <w:uiPriority w:val="0"/>
  </w:style>
  <w:style w:type="character" w:customStyle="1" w:styleId="22">
    <w:name w:val="vlist"/>
    <w:basedOn w:val="4"/>
    <w:uiPriority w:val="0"/>
  </w:style>
  <w:style w:type="character" w:customStyle="1" w:styleId="23">
    <w:name w:val="pstrut"/>
    <w:basedOn w:val="4"/>
    <w:uiPriority w:val="0"/>
  </w:style>
  <w:style w:type="character" w:customStyle="1" w:styleId="24">
    <w:name w:val="sizing"/>
    <w:basedOn w:val="4"/>
    <w:uiPriority w:val="0"/>
  </w:style>
  <w:style w:type="character" w:customStyle="1" w:styleId="25">
    <w:name w:val="mbin"/>
    <w:basedOn w:val="4"/>
    <w:uiPriority w:val="0"/>
  </w:style>
  <w:style w:type="character" w:customStyle="1" w:styleId="26">
    <w:name w:val="minner"/>
    <w:basedOn w:val="4"/>
    <w:uiPriority w:val="0"/>
  </w:style>
  <w:style w:type="character" w:customStyle="1" w:styleId="27">
    <w:name w:val="mpunct"/>
    <w:basedOn w:val="4"/>
    <w:uiPriority w:val="0"/>
  </w:style>
  <w:style w:type="character" w:customStyle="1" w:styleId="28">
    <w:name w:val="Верхний колонтитул Знак"/>
    <w:basedOn w:val="4"/>
    <w:link w:val="7"/>
    <w:uiPriority w:val="99"/>
  </w:style>
  <w:style w:type="character" w:customStyle="1" w:styleId="29">
    <w:name w:val="Нижний колонтитул Знак"/>
    <w:basedOn w:val="4"/>
    <w:link w:val="8"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983</Words>
  <Characters>5608</Characters>
  <Lines>46</Lines>
  <Paragraphs>13</Paragraphs>
  <TotalTime>1</TotalTime>
  <ScaleCrop>false</ScaleCrop>
  <LinksUpToDate>false</LinksUpToDate>
  <CharactersWithSpaces>6578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2026-03-23T10:58:00Z</dcterms:created>
  <dc:creator>Реботунов Антон Б.</dc:creator>
  <cp:lastModifiedBy>Grigorenko</cp:lastModifiedBy>
  <dcterms:modified xsi:type="dcterms:W3CDTF">2026-03-24T07:56:19Z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C4024E7B591541A4A72754ED4536E179_12</vt:lpwstr>
  </property>
</Properties>
</file>